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9F3" w:rsidRPr="001519F3" w:rsidRDefault="001519F3" w:rsidP="001519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E74B5" w:themeColor="accent1" w:themeShade="BF"/>
          <w:sz w:val="24"/>
          <w:szCs w:val="21"/>
          <w:lang w:eastAsia="ru-RU"/>
        </w:rPr>
      </w:pPr>
      <w:r w:rsidRPr="001519F3">
        <w:rPr>
          <w:rFonts w:ascii="Arial" w:eastAsia="Times New Roman" w:hAnsi="Arial" w:cs="Arial"/>
          <w:b/>
          <w:color w:val="2E74B5" w:themeColor="accent1" w:themeShade="BF"/>
          <w:sz w:val="24"/>
          <w:szCs w:val="21"/>
          <w:lang w:eastAsia="ru-RU"/>
        </w:rPr>
        <w:t>Рецензент A:</w:t>
      </w:r>
    </w:p>
    <w:p w:rsidR="001519F3" w:rsidRPr="001519F3" w:rsidRDefault="001519F3" w:rsidP="001519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E74B5" w:themeColor="accent1" w:themeShade="BF"/>
          <w:sz w:val="24"/>
          <w:szCs w:val="21"/>
          <w:lang w:eastAsia="ru-RU"/>
        </w:rPr>
      </w:pPr>
      <w:r w:rsidRPr="001519F3">
        <w:rPr>
          <w:rFonts w:ascii="Arial" w:eastAsia="Times New Roman" w:hAnsi="Arial" w:cs="Arial"/>
          <w:color w:val="2E74B5" w:themeColor="accent1" w:themeShade="BF"/>
          <w:sz w:val="24"/>
          <w:szCs w:val="21"/>
          <w:lang w:eastAsia="ru-RU"/>
        </w:rPr>
        <w:t>Рецензия на статью</w:t>
      </w:r>
    </w:p>
    <w:p w:rsidR="001519F3" w:rsidRPr="001519F3" w:rsidRDefault="001519F3" w:rsidP="001519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E74B5" w:themeColor="accent1" w:themeShade="BF"/>
          <w:sz w:val="24"/>
          <w:szCs w:val="21"/>
          <w:lang w:eastAsia="ru-RU"/>
        </w:rPr>
      </w:pPr>
      <w:r w:rsidRPr="001519F3">
        <w:rPr>
          <w:rFonts w:ascii="Arial" w:eastAsia="Times New Roman" w:hAnsi="Arial" w:cs="Arial"/>
          <w:i/>
          <w:iCs/>
          <w:color w:val="2E74B5" w:themeColor="accent1" w:themeShade="BF"/>
          <w:sz w:val="24"/>
          <w:szCs w:val="21"/>
          <w:lang w:eastAsia="ru-RU"/>
        </w:rPr>
        <w:t xml:space="preserve">Д.К. </w:t>
      </w:r>
      <w:proofErr w:type="spellStart"/>
      <w:r w:rsidRPr="001519F3">
        <w:rPr>
          <w:rFonts w:ascii="Arial" w:eastAsia="Times New Roman" w:hAnsi="Arial" w:cs="Arial"/>
          <w:i/>
          <w:iCs/>
          <w:color w:val="2E74B5" w:themeColor="accent1" w:themeShade="BF"/>
          <w:sz w:val="24"/>
          <w:szCs w:val="21"/>
          <w:lang w:eastAsia="ru-RU"/>
        </w:rPr>
        <w:t>Дмитрачкова</w:t>
      </w:r>
      <w:proofErr w:type="spellEnd"/>
      <w:r w:rsidRPr="001519F3">
        <w:rPr>
          <w:rFonts w:ascii="Arial" w:eastAsia="Times New Roman" w:hAnsi="Arial" w:cs="Arial"/>
          <w:i/>
          <w:iCs/>
          <w:color w:val="2E74B5" w:themeColor="accent1" w:themeShade="BF"/>
          <w:sz w:val="24"/>
          <w:szCs w:val="21"/>
          <w:lang w:eastAsia="ru-RU"/>
        </w:rPr>
        <w:t>, М.И. Протасова</w:t>
      </w:r>
    </w:p>
    <w:p w:rsidR="001519F3" w:rsidRPr="001519F3" w:rsidRDefault="001519F3" w:rsidP="001519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E74B5" w:themeColor="accent1" w:themeShade="BF"/>
          <w:sz w:val="24"/>
          <w:szCs w:val="21"/>
          <w:lang w:eastAsia="ru-RU"/>
        </w:rPr>
      </w:pPr>
      <w:r w:rsidRPr="001519F3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1"/>
          <w:lang w:eastAsia="ru-RU"/>
        </w:rPr>
        <w:t>СИНХРОННАЯ СЕЙСМИЧЕСКАЯ ИНВЕРСИЯ НА ОСНОВЕ ТОЧНОГО РЕШЕНИЯ УРАВНЕНИЙ ЦЕППРИТЦА ДЛЯ ВОССТАНОВЛЕНИЯ УПРУГИХ СВОЙСТВ СРЕДЫ</w:t>
      </w:r>
    </w:p>
    <w:p w:rsidR="001519F3" w:rsidRPr="001519F3" w:rsidRDefault="001519F3" w:rsidP="001519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E74B5" w:themeColor="accent1" w:themeShade="BF"/>
          <w:sz w:val="24"/>
          <w:szCs w:val="21"/>
          <w:lang w:eastAsia="ru-RU"/>
        </w:rPr>
      </w:pPr>
      <w:r w:rsidRPr="001519F3">
        <w:rPr>
          <w:rFonts w:ascii="Arial" w:eastAsia="Times New Roman" w:hAnsi="Arial" w:cs="Arial"/>
          <w:color w:val="2E74B5" w:themeColor="accent1" w:themeShade="BF"/>
          <w:sz w:val="24"/>
          <w:szCs w:val="21"/>
          <w:lang w:eastAsia="ru-RU"/>
        </w:rPr>
        <w:t>Работа посвящена развитию методов инверсии сейсмических данных, направленных на определение структуры подповерхностного пространства. Прикладная значимость исследования заключается в востребованности эффективных и точных методов при поиске и разведке месторождений углеводородов.</w:t>
      </w:r>
    </w:p>
    <w:p w:rsidR="001519F3" w:rsidRPr="001519F3" w:rsidRDefault="001519F3" w:rsidP="001519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E74B5" w:themeColor="accent1" w:themeShade="BF"/>
          <w:sz w:val="24"/>
          <w:szCs w:val="21"/>
          <w:lang w:eastAsia="ru-RU"/>
        </w:rPr>
      </w:pPr>
      <w:r w:rsidRPr="001519F3">
        <w:rPr>
          <w:rFonts w:ascii="Arial" w:eastAsia="Times New Roman" w:hAnsi="Arial" w:cs="Arial"/>
          <w:color w:val="2E74B5" w:themeColor="accent1" w:themeShade="BF"/>
          <w:sz w:val="24"/>
          <w:szCs w:val="21"/>
          <w:lang w:eastAsia="ru-RU"/>
        </w:rPr>
        <w:t xml:space="preserve">Авторы рассматривают вопрос построения решения уравнения </w:t>
      </w:r>
      <w:proofErr w:type="spellStart"/>
      <w:r w:rsidRPr="001519F3">
        <w:rPr>
          <w:rFonts w:ascii="Arial" w:eastAsia="Times New Roman" w:hAnsi="Arial" w:cs="Arial"/>
          <w:color w:val="2E74B5" w:themeColor="accent1" w:themeShade="BF"/>
          <w:sz w:val="24"/>
          <w:szCs w:val="21"/>
          <w:lang w:eastAsia="ru-RU"/>
        </w:rPr>
        <w:t>Цёппритца</w:t>
      </w:r>
      <w:proofErr w:type="spellEnd"/>
      <w:r w:rsidRPr="001519F3">
        <w:rPr>
          <w:rFonts w:ascii="Arial" w:eastAsia="Times New Roman" w:hAnsi="Arial" w:cs="Arial"/>
          <w:color w:val="2E74B5" w:themeColor="accent1" w:themeShade="BF"/>
          <w:sz w:val="24"/>
          <w:szCs w:val="21"/>
          <w:lang w:eastAsia="ru-RU"/>
        </w:rPr>
        <w:t>, описывающего зависимость коэффициента отражения от упругих параметров среды. Они предлагают способ, основанный на точном решении данной системы. Рассматриваются различные широко применяемые параметризации геологического разреза.</w:t>
      </w:r>
    </w:p>
    <w:p w:rsidR="001519F3" w:rsidRPr="001519F3" w:rsidRDefault="001519F3" w:rsidP="001519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B050"/>
          <w:sz w:val="24"/>
          <w:szCs w:val="21"/>
          <w:lang w:eastAsia="ru-RU"/>
        </w:rPr>
      </w:pPr>
      <w:r w:rsidRPr="001519F3">
        <w:rPr>
          <w:rFonts w:ascii="Arial" w:eastAsia="Times New Roman" w:hAnsi="Arial" w:cs="Arial"/>
          <w:b/>
          <w:color w:val="00B050"/>
          <w:sz w:val="24"/>
          <w:szCs w:val="21"/>
          <w:lang w:eastAsia="ru-RU"/>
        </w:rPr>
        <w:t>Авторы:</w:t>
      </w:r>
      <w:r w:rsidR="00A44228">
        <w:rPr>
          <w:rFonts w:ascii="Arial" w:eastAsia="Times New Roman" w:hAnsi="Arial" w:cs="Arial"/>
          <w:b/>
          <w:color w:val="00B050"/>
          <w:sz w:val="24"/>
          <w:szCs w:val="21"/>
          <w:lang w:eastAsia="ru-RU"/>
        </w:rPr>
        <w:t xml:space="preserve"> </w:t>
      </w:r>
      <w:r w:rsidR="00A44228" w:rsidRPr="00BD7A04">
        <w:rPr>
          <w:rFonts w:ascii="Arial" w:eastAsia="Times New Roman" w:hAnsi="Arial" w:cs="Arial"/>
          <w:color w:val="00B050"/>
          <w:sz w:val="24"/>
          <w:szCs w:val="21"/>
          <w:lang w:eastAsia="ru-RU"/>
        </w:rPr>
        <w:t>Благодарим за подробную рецензию. Мы учли ваши замечания.</w:t>
      </w:r>
    </w:p>
    <w:p w:rsidR="001519F3" w:rsidRPr="001519F3" w:rsidRDefault="001519F3" w:rsidP="001519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E74B5" w:themeColor="accent1" w:themeShade="BF"/>
          <w:sz w:val="24"/>
          <w:szCs w:val="21"/>
          <w:lang w:eastAsia="ru-RU"/>
        </w:rPr>
      </w:pPr>
      <w:r w:rsidRPr="001519F3">
        <w:rPr>
          <w:rFonts w:ascii="Arial" w:eastAsia="Times New Roman" w:hAnsi="Arial" w:cs="Arial"/>
          <w:b/>
          <w:color w:val="2E74B5" w:themeColor="accent1" w:themeShade="BF"/>
          <w:sz w:val="24"/>
          <w:szCs w:val="21"/>
          <w:lang w:eastAsia="ru-RU"/>
        </w:rPr>
        <w:t>Рецензент A:</w:t>
      </w:r>
      <w:r w:rsidRPr="001519F3">
        <w:rPr>
          <w:rFonts w:ascii="Arial" w:eastAsia="Times New Roman" w:hAnsi="Arial" w:cs="Arial"/>
          <w:color w:val="2E74B5" w:themeColor="accent1" w:themeShade="BF"/>
          <w:sz w:val="24"/>
          <w:szCs w:val="21"/>
          <w:lang w:eastAsia="ru-RU"/>
        </w:rPr>
        <w:t xml:space="preserve"> Критикуя приближённые методы решения уравнения </w:t>
      </w:r>
      <w:proofErr w:type="spellStart"/>
      <w:r w:rsidRPr="001519F3">
        <w:rPr>
          <w:rFonts w:ascii="Arial" w:eastAsia="Times New Roman" w:hAnsi="Arial" w:cs="Arial"/>
          <w:color w:val="2E74B5" w:themeColor="accent1" w:themeShade="BF"/>
          <w:sz w:val="24"/>
          <w:szCs w:val="21"/>
          <w:lang w:eastAsia="ru-RU"/>
        </w:rPr>
        <w:t>Цёппритца</w:t>
      </w:r>
      <w:proofErr w:type="spellEnd"/>
      <w:r w:rsidRPr="001519F3">
        <w:rPr>
          <w:rFonts w:ascii="Arial" w:eastAsia="Times New Roman" w:hAnsi="Arial" w:cs="Arial"/>
          <w:color w:val="2E74B5" w:themeColor="accent1" w:themeShade="BF"/>
          <w:sz w:val="24"/>
          <w:szCs w:val="21"/>
          <w:lang w:eastAsia="ru-RU"/>
        </w:rPr>
        <w:t xml:space="preserve"> авторы ссылаются на то, что в них (методах) необходима информация о гладком тренде параметров среды. При этом в предлагаемом ими методе при построении </w:t>
      </w:r>
      <w:proofErr w:type="spellStart"/>
      <w:r w:rsidRPr="001519F3">
        <w:rPr>
          <w:rFonts w:ascii="Arial" w:eastAsia="Times New Roman" w:hAnsi="Arial" w:cs="Arial"/>
          <w:color w:val="2E74B5" w:themeColor="accent1" w:themeShade="BF"/>
          <w:sz w:val="24"/>
          <w:szCs w:val="21"/>
          <w:lang w:eastAsia="ru-RU"/>
        </w:rPr>
        <w:t>регуляризатора</w:t>
      </w:r>
      <w:proofErr w:type="spellEnd"/>
      <w:r w:rsidRPr="001519F3">
        <w:rPr>
          <w:rFonts w:ascii="Arial" w:eastAsia="Times New Roman" w:hAnsi="Arial" w:cs="Arial"/>
          <w:color w:val="2E74B5" w:themeColor="accent1" w:themeShade="BF"/>
          <w:sz w:val="24"/>
          <w:szCs w:val="21"/>
          <w:lang w:eastAsia="ru-RU"/>
        </w:rPr>
        <w:t xml:space="preserve"> также задаются гладкие тренды упругих параметров. Таким образом, по данному параметру точные и приближённые методы эквивалентны?</w:t>
      </w:r>
    </w:p>
    <w:p w:rsidR="001519F3" w:rsidRPr="001519F3" w:rsidRDefault="001519F3" w:rsidP="001519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B050"/>
          <w:sz w:val="24"/>
          <w:szCs w:val="21"/>
          <w:lang w:eastAsia="ru-RU"/>
        </w:rPr>
      </w:pPr>
      <w:r w:rsidRPr="001519F3">
        <w:rPr>
          <w:rFonts w:ascii="Arial" w:eastAsia="Times New Roman" w:hAnsi="Arial" w:cs="Arial"/>
          <w:b/>
          <w:color w:val="00B050"/>
          <w:sz w:val="24"/>
          <w:szCs w:val="21"/>
          <w:lang w:eastAsia="ru-RU"/>
        </w:rPr>
        <w:t>Авторы:</w:t>
      </w:r>
      <w:r w:rsidR="00A44228">
        <w:rPr>
          <w:rFonts w:ascii="Arial" w:eastAsia="Times New Roman" w:hAnsi="Arial" w:cs="Arial"/>
          <w:b/>
          <w:color w:val="00B050"/>
          <w:sz w:val="24"/>
          <w:szCs w:val="21"/>
          <w:lang w:eastAsia="ru-RU"/>
        </w:rPr>
        <w:t xml:space="preserve"> </w:t>
      </w:r>
      <w:r w:rsidR="00BD7A04" w:rsidRPr="00BD7A04">
        <w:rPr>
          <w:rFonts w:ascii="Arial" w:eastAsia="Times New Roman" w:hAnsi="Arial" w:cs="Arial"/>
          <w:color w:val="00B050"/>
          <w:sz w:val="24"/>
          <w:szCs w:val="21"/>
          <w:lang w:eastAsia="ru-RU"/>
        </w:rPr>
        <w:t>Действительно, в тексте неясно сформулирована мысль</w:t>
      </w:r>
      <w:r w:rsidR="00BD7A04">
        <w:rPr>
          <w:rFonts w:ascii="Arial" w:eastAsia="Times New Roman" w:hAnsi="Arial" w:cs="Arial"/>
          <w:color w:val="00B050"/>
          <w:sz w:val="24"/>
          <w:szCs w:val="21"/>
          <w:lang w:eastAsia="ru-RU"/>
        </w:rPr>
        <w:t xml:space="preserve">. Рассматривая аппроксимации уравнений </w:t>
      </w:r>
      <w:proofErr w:type="spellStart"/>
      <w:r w:rsidR="00BD7A04">
        <w:rPr>
          <w:rFonts w:ascii="Arial" w:eastAsia="Times New Roman" w:hAnsi="Arial" w:cs="Arial"/>
          <w:color w:val="00B050"/>
          <w:sz w:val="24"/>
          <w:szCs w:val="21"/>
          <w:lang w:eastAsia="ru-RU"/>
        </w:rPr>
        <w:t>Цёппритца</w:t>
      </w:r>
      <w:proofErr w:type="spellEnd"/>
      <w:r w:rsidR="00BD7A04">
        <w:rPr>
          <w:rFonts w:ascii="Arial" w:eastAsia="Times New Roman" w:hAnsi="Arial" w:cs="Arial"/>
          <w:color w:val="00B050"/>
          <w:sz w:val="24"/>
          <w:szCs w:val="21"/>
          <w:lang w:eastAsia="ru-RU"/>
        </w:rPr>
        <w:t xml:space="preserve">, можно заметить, что гладкие тренды моделей входят в элементы итоговой матрицы и правой части системы. Чтобы задача оставалась линейной, на этапе построения матрицы необходимо фиксировать значения гладких трендов. При построении стабилизатора </w:t>
      </w:r>
      <w:r w:rsidR="00FF6242">
        <w:rPr>
          <w:rFonts w:ascii="Arial" w:eastAsia="Times New Roman" w:hAnsi="Arial" w:cs="Arial"/>
          <w:color w:val="00B050"/>
          <w:sz w:val="24"/>
          <w:szCs w:val="21"/>
          <w:lang w:eastAsia="ru-RU"/>
        </w:rPr>
        <w:t xml:space="preserve">в предлагаемом методе также используются гладкие тренды модельных параметров, но в процессе оптимизации модель может отклоняться от них, при этом вовлекая низкочастотную составляющую в решение. То есть различие заключается в том, что в предлагаемом методе гладкий тренд параметров среды учитывается более мягко. Однако и в предложенном методе, и в приближённых методах учёт гладкого тренда необходим, поскольку в сейсмических трассах отсутствует информация о низкочастотной составляющей модели. </w:t>
      </w:r>
      <w:r w:rsidR="00FF6242" w:rsidRPr="001757DB">
        <w:rPr>
          <w:rFonts w:ascii="Arial" w:eastAsia="Times New Roman" w:hAnsi="Arial" w:cs="Arial"/>
          <w:color w:val="00B050"/>
          <w:sz w:val="24"/>
          <w:szCs w:val="21"/>
          <w:lang w:eastAsia="ru-RU"/>
        </w:rPr>
        <w:t>Соответствующие пояснения добавлены в текст.</w:t>
      </w:r>
    </w:p>
    <w:p w:rsidR="001519F3" w:rsidRPr="001519F3" w:rsidRDefault="001519F3" w:rsidP="001519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E74B5" w:themeColor="accent1" w:themeShade="BF"/>
          <w:sz w:val="24"/>
          <w:szCs w:val="21"/>
          <w:lang w:eastAsia="ru-RU"/>
        </w:rPr>
      </w:pPr>
      <w:r w:rsidRPr="001519F3">
        <w:rPr>
          <w:rFonts w:ascii="Arial" w:eastAsia="Times New Roman" w:hAnsi="Arial" w:cs="Arial"/>
          <w:b/>
          <w:color w:val="2E74B5" w:themeColor="accent1" w:themeShade="BF"/>
          <w:sz w:val="24"/>
          <w:szCs w:val="21"/>
          <w:lang w:eastAsia="ru-RU"/>
        </w:rPr>
        <w:t>Рецензент A:</w:t>
      </w:r>
      <w:r w:rsidRPr="001519F3">
        <w:rPr>
          <w:rFonts w:ascii="Arial" w:eastAsia="Times New Roman" w:hAnsi="Arial" w:cs="Arial"/>
          <w:b/>
          <w:color w:val="2E74B5" w:themeColor="accent1" w:themeShade="BF"/>
          <w:sz w:val="24"/>
          <w:szCs w:val="21"/>
          <w:lang w:eastAsia="ru-RU"/>
        </w:rPr>
        <w:t xml:space="preserve"> </w:t>
      </w:r>
      <w:r w:rsidRPr="001519F3">
        <w:rPr>
          <w:rFonts w:ascii="Arial" w:eastAsia="Times New Roman" w:hAnsi="Arial" w:cs="Arial"/>
          <w:color w:val="2E74B5" w:themeColor="accent1" w:themeShade="BF"/>
          <w:sz w:val="24"/>
          <w:szCs w:val="21"/>
          <w:lang w:eastAsia="ru-RU"/>
        </w:rPr>
        <w:t>Чем обуславливается выбор конкретного значения малого параметра дельта в формуле (13)? Влияет ли на его выбор то, ведётся ли расчёт с одинарной или двойной точностью?</w:t>
      </w:r>
    </w:p>
    <w:p w:rsidR="001519F3" w:rsidRPr="003407E4" w:rsidRDefault="001519F3" w:rsidP="001519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B050"/>
          <w:sz w:val="24"/>
          <w:szCs w:val="21"/>
          <w:lang w:eastAsia="ru-RU"/>
        </w:rPr>
      </w:pPr>
      <w:r w:rsidRPr="001519F3">
        <w:rPr>
          <w:rFonts w:ascii="Arial" w:eastAsia="Times New Roman" w:hAnsi="Arial" w:cs="Arial"/>
          <w:b/>
          <w:color w:val="00B050"/>
          <w:sz w:val="24"/>
          <w:szCs w:val="21"/>
          <w:lang w:eastAsia="ru-RU"/>
        </w:rPr>
        <w:t>Авторы:</w:t>
      </w:r>
      <w:r w:rsidR="00897F5F">
        <w:rPr>
          <w:rFonts w:ascii="Arial" w:eastAsia="Times New Roman" w:hAnsi="Arial" w:cs="Arial"/>
          <w:color w:val="00B050"/>
          <w:sz w:val="24"/>
          <w:szCs w:val="21"/>
          <w:lang w:eastAsia="ru-RU"/>
        </w:rPr>
        <w:t xml:space="preserve"> Параметр дельта влияет на степень сглаживания функции модуля около нуля. Подбирать его следует на несколько порядков меньшим, чем характерные значения величины </w:t>
      </w:r>
      <w:r w:rsidR="00897F5F">
        <w:rPr>
          <w:rFonts w:ascii="Arial" w:eastAsia="Times New Roman" w:hAnsi="Arial" w:cs="Arial"/>
          <w:color w:val="00B050"/>
          <w:sz w:val="24"/>
          <w:szCs w:val="21"/>
          <w:lang w:val="en-US" w:eastAsia="ru-RU"/>
        </w:rPr>
        <w:t>x</w:t>
      </w:r>
      <w:r w:rsidR="00897F5F">
        <w:rPr>
          <w:rFonts w:ascii="Arial" w:eastAsia="Times New Roman" w:hAnsi="Arial" w:cs="Arial"/>
          <w:color w:val="00B050"/>
          <w:sz w:val="24"/>
          <w:szCs w:val="21"/>
          <w:lang w:eastAsia="ru-RU"/>
        </w:rPr>
        <w:t xml:space="preserve"> в подкоренном выражении. Слишком малые значения дельта означают, что сглаживание будет минимальным, и слагаемое будет близко к </w:t>
      </w:r>
      <w:r w:rsidR="00897F5F">
        <w:rPr>
          <w:rFonts w:ascii="Arial" w:eastAsia="Times New Roman" w:hAnsi="Arial" w:cs="Arial"/>
          <w:color w:val="00B050"/>
          <w:sz w:val="24"/>
          <w:szCs w:val="21"/>
          <w:lang w:eastAsia="ru-RU"/>
        </w:rPr>
        <w:lastRenderedPageBreak/>
        <w:t xml:space="preserve">исходному </w:t>
      </w:r>
      <w:proofErr w:type="spellStart"/>
      <w:r w:rsidR="00897F5F">
        <w:rPr>
          <w:rFonts w:ascii="Arial" w:eastAsia="Times New Roman" w:hAnsi="Arial" w:cs="Arial"/>
          <w:color w:val="00B050"/>
          <w:sz w:val="24"/>
          <w:szCs w:val="21"/>
          <w:lang w:eastAsia="ru-RU"/>
        </w:rPr>
        <w:t>недифф</w:t>
      </w:r>
      <w:r w:rsidR="00775348">
        <w:rPr>
          <w:rFonts w:ascii="Arial" w:eastAsia="Times New Roman" w:hAnsi="Arial" w:cs="Arial"/>
          <w:color w:val="00B050"/>
          <w:sz w:val="24"/>
          <w:szCs w:val="21"/>
          <w:lang w:eastAsia="ru-RU"/>
        </w:rPr>
        <w:t>е</w:t>
      </w:r>
      <w:r w:rsidR="00897F5F">
        <w:rPr>
          <w:rFonts w:ascii="Arial" w:eastAsia="Times New Roman" w:hAnsi="Arial" w:cs="Arial"/>
          <w:color w:val="00B050"/>
          <w:sz w:val="24"/>
          <w:szCs w:val="21"/>
          <w:lang w:eastAsia="ru-RU"/>
        </w:rPr>
        <w:t>ренцируемому</w:t>
      </w:r>
      <w:proofErr w:type="spellEnd"/>
      <w:r w:rsidR="00897F5F">
        <w:rPr>
          <w:rFonts w:ascii="Arial" w:eastAsia="Times New Roman" w:hAnsi="Arial" w:cs="Arial"/>
          <w:color w:val="00B050"/>
          <w:sz w:val="24"/>
          <w:szCs w:val="21"/>
          <w:lang w:eastAsia="ru-RU"/>
        </w:rPr>
        <w:t xml:space="preserve">. Если же выбрать значение дельта слишком большим, то сглаживание будет слишком сильным, что приведёт к потере разреженности структуры решения, и норма </w:t>
      </w:r>
      <w:r w:rsidR="00897F5F">
        <w:rPr>
          <w:rFonts w:ascii="Arial" w:eastAsia="Times New Roman" w:hAnsi="Arial" w:cs="Arial"/>
          <w:color w:val="00B050"/>
          <w:sz w:val="24"/>
          <w:szCs w:val="21"/>
          <w:lang w:val="en-US" w:eastAsia="ru-RU"/>
        </w:rPr>
        <w:t>L</w:t>
      </w:r>
      <w:r w:rsidR="00897F5F" w:rsidRPr="00897F5F">
        <w:rPr>
          <w:rFonts w:ascii="Arial" w:eastAsia="Times New Roman" w:hAnsi="Arial" w:cs="Arial"/>
          <w:color w:val="00B050"/>
          <w:sz w:val="24"/>
          <w:szCs w:val="21"/>
          <w:lang w:eastAsia="ru-RU"/>
        </w:rPr>
        <w:t xml:space="preserve">1 </w:t>
      </w:r>
      <w:r w:rsidR="00897F5F">
        <w:rPr>
          <w:rFonts w:ascii="Arial" w:eastAsia="Times New Roman" w:hAnsi="Arial" w:cs="Arial"/>
          <w:color w:val="00B050"/>
          <w:sz w:val="24"/>
          <w:szCs w:val="21"/>
          <w:lang w:eastAsia="ru-RU"/>
        </w:rPr>
        <w:t xml:space="preserve">уже не будет выполнять свою роль в целевой функции. При характерном значении </w:t>
      </w:r>
      <w:r w:rsidR="00897F5F">
        <w:rPr>
          <w:rFonts w:ascii="Arial" w:eastAsia="Times New Roman" w:hAnsi="Arial" w:cs="Arial"/>
          <w:color w:val="00B050"/>
          <w:sz w:val="24"/>
          <w:szCs w:val="21"/>
          <w:lang w:val="en-US" w:eastAsia="ru-RU"/>
        </w:rPr>
        <w:t>x</w:t>
      </w:r>
      <w:r w:rsidR="00897F5F">
        <w:rPr>
          <w:rFonts w:ascii="Arial" w:eastAsia="Times New Roman" w:hAnsi="Arial" w:cs="Arial"/>
          <w:color w:val="00B050"/>
          <w:sz w:val="24"/>
          <w:szCs w:val="21"/>
          <w:lang w:eastAsia="ru-RU"/>
        </w:rPr>
        <w:t xml:space="preserve"> около 1 разумно выбрать дельта около 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00B050"/>
                <w:sz w:val="24"/>
                <w:szCs w:val="21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color w:val="00B050"/>
                <w:sz w:val="24"/>
                <w:szCs w:val="21"/>
                <w:lang w:eastAsia="ru-RU"/>
              </w:rPr>
              <m:t>10</m:t>
            </m:r>
          </m:e>
          <m:sup>
            <m:r>
              <w:rPr>
                <w:rFonts w:ascii="Cambria Math" w:eastAsia="Times New Roman" w:hAnsi="Cambria Math" w:cs="Arial"/>
                <w:color w:val="00B050"/>
                <w:sz w:val="24"/>
                <w:szCs w:val="21"/>
                <w:lang w:eastAsia="ru-RU"/>
              </w:rPr>
              <m:t>-6</m:t>
            </m:r>
          </m:sup>
        </m:sSup>
      </m:oMath>
      <w:r w:rsidR="00897F5F" w:rsidRPr="00897F5F">
        <w:rPr>
          <w:rFonts w:ascii="Arial" w:eastAsia="Times New Roman" w:hAnsi="Arial" w:cs="Arial"/>
          <w:color w:val="00B050"/>
          <w:sz w:val="24"/>
          <w:szCs w:val="21"/>
          <w:lang w:eastAsia="ru-RU"/>
        </w:rPr>
        <w:t xml:space="preserve"> </w:t>
      </w:r>
      <w:r w:rsidR="00897F5F">
        <w:rPr>
          <w:rFonts w:ascii="Arial" w:eastAsia="Times New Roman" w:hAnsi="Arial" w:cs="Arial"/>
          <w:color w:val="00B050"/>
          <w:sz w:val="24"/>
          <w:szCs w:val="21"/>
          <w:lang w:eastAsia="ru-RU"/>
        </w:rPr>
        <w:t xml:space="preserve">при расчёте в двойной точности. Если же вычисления ведутся в одинарной точности, то параметр дельта должен быть большим. </w:t>
      </w:r>
      <w:r w:rsidR="00897F5F" w:rsidRPr="003407E4">
        <w:rPr>
          <w:rFonts w:ascii="Arial" w:eastAsia="Times New Roman" w:hAnsi="Arial" w:cs="Arial"/>
          <w:color w:val="00B050"/>
          <w:sz w:val="24"/>
          <w:szCs w:val="21"/>
          <w:lang w:eastAsia="ru-RU"/>
        </w:rPr>
        <w:t>Соответствующие пояснения были добавлены в текст работы.</w:t>
      </w:r>
    </w:p>
    <w:p w:rsidR="001519F3" w:rsidRPr="001519F3" w:rsidRDefault="001519F3" w:rsidP="001519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E74B5" w:themeColor="accent1" w:themeShade="BF"/>
          <w:sz w:val="24"/>
          <w:szCs w:val="21"/>
          <w:lang w:eastAsia="ru-RU"/>
        </w:rPr>
      </w:pPr>
      <w:r w:rsidRPr="001519F3">
        <w:rPr>
          <w:rFonts w:ascii="Arial" w:eastAsia="Times New Roman" w:hAnsi="Arial" w:cs="Arial"/>
          <w:b/>
          <w:color w:val="2E74B5" w:themeColor="accent1" w:themeShade="BF"/>
          <w:sz w:val="24"/>
          <w:szCs w:val="21"/>
          <w:lang w:eastAsia="ru-RU"/>
        </w:rPr>
        <w:t>Рецензент A:</w:t>
      </w:r>
      <w:r w:rsidRPr="001519F3">
        <w:rPr>
          <w:rFonts w:ascii="Arial" w:eastAsia="Times New Roman" w:hAnsi="Arial" w:cs="Arial"/>
          <w:b/>
          <w:color w:val="2E74B5" w:themeColor="accent1" w:themeShade="BF"/>
          <w:sz w:val="24"/>
          <w:szCs w:val="21"/>
          <w:lang w:eastAsia="ru-RU"/>
        </w:rPr>
        <w:t xml:space="preserve"> </w:t>
      </w:r>
      <w:r w:rsidRPr="001519F3">
        <w:rPr>
          <w:rFonts w:ascii="Arial" w:eastAsia="Times New Roman" w:hAnsi="Arial" w:cs="Arial"/>
          <w:color w:val="2E74B5" w:themeColor="accent1" w:themeShade="BF"/>
          <w:sz w:val="24"/>
          <w:szCs w:val="21"/>
          <w:lang w:eastAsia="ru-RU"/>
        </w:rPr>
        <w:t xml:space="preserve">Рисунок 4 – показаны решения только для точного </w:t>
      </w:r>
      <w:proofErr w:type="spellStart"/>
      <w:r w:rsidRPr="001519F3">
        <w:rPr>
          <w:rFonts w:ascii="Arial" w:eastAsia="Times New Roman" w:hAnsi="Arial" w:cs="Arial"/>
          <w:color w:val="2E74B5" w:themeColor="accent1" w:themeShade="BF"/>
          <w:sz w:val="24"/>
          <w:szCs w:val="21"/>
          <w:lang w:eastAsia="ru-RU"/>
        </w:rPr>
        <w:t>Цёппритца</w:t>
      </w:r>
      <w:proofErr w:type="spellEnd"/>
      <w:r w:rsidRPr="001519F3">
        <w:rPr>
          <w:rFonts w:ascii="Arial" w:eastAsia="Times New Roman" w:hAnsi="Arial" w:cs="Arial"/>
          <w:color w:val="2E74B5" w:themeColor="accent1" w:themeShade="BF"/>
          <w:sz w:val="24"/>
          <w:szCs w:val="21"/>
          <w:lang w:eastAsia="ru-RU"/>
        </w:rPr>
        <w:t>. Хотелось бы видеть сравнение с результатами, полученными при аппроксимации Шуе.</w:t>
      </w:r>
    </w:p>
    <w:p w:rsidR="007070A3" w:rsidRPr="001757DB" w:rsidRDefault="001519F3" w:rsidP="001757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B050"/>
          <w:sz w:val="24"/>
          <w:szCs w:val="21"/>
          <w:lang w:eastAsia="ru-RU"/>
        </w:rPr>
      </w:pPr>
      <w:r w:rsidRPr="001519F3">
        <w:rPr>
          <w:rFonts w:ascii="Arial" w:eastAsia="Times New Roman" w:hAnsi="Arial" w:cs="Arial"/>
          <w:b/>
          <w:color w:val="00B050"/>
          <w:sz w:val="24"/>
          <w:szCs w:val="21"/>
          <w:lang w:eastAsia="ru-RU"/>
        </w:rPr>
        <w:t>Авторы:</w:t>
      </w:r>
      <w:r w:rsidR="001757DB">
        <w:rPr>
          <w:rFonts w:ascii="Arial" w:eastAsia="Times New Roman" w:hAnsi="Arial" w:cs="Arial"/>
          <w:color w:val="00B050"/>
          <w:sz w:val="24"/>
          <w:szCs w:val="21"/>
          <w:lang w:eastAsia="ru-RU"/>
        </w:rPr>
        <w:t xml:space="preserve"> </w:t>
      </w:r>
      <w:r w:rsidR="00967583">
        <w:rPr>
          <w:rFonts w:ascii="Arial" w:eastAsia="Times New Roman" w:hAnsi="Arial" w:cs="Arial"/>
          <w:color w:val="00B050"/>
          <w:sz w:val="24"/>
          <w:szCs w:val="21"/>
          <w:lang w:eastAsia="ru-RU"/>
        </w:rPr>
        <w:t>Мы согласны с вашим замечанием</w:t>
      </w:r>
      <w:r w:rsidR="001757DB" w:rsidRPr="00967583">
        <w:rPr>
          <w:rFonts w:ascii="Arial" w:eastAsia="Times New Roman" w:hAnsi="Arial" w:cs="Arial"/>
          <w:color w:val="00B050"/>
          <w:sz w:val="24"/>
          <w:szCs w:val="21"/>
          <w:lang w:eastAsia="ru-RU"/>
        </w:rPr>
        <w:t>. На Рисунок</w:t>
      </w:r>
      <w:bookmarkStart w:id="0" w:name="_GoBack"/>
      <w:bookmarkEnd w:id="0"/>
      <w:r w:rsidR="001757DB" w:rsidRPr="00967583">
        <w:rPr>
          <w:rFonts w:ascii="Arial" w:eastAsia="Times New Roman" w:hAnsi="Arial" w:cs="Arial"/>
          <w:color w:val="00B050"/>
          <w:sz w:val="24"/>
          <w:szCs w:val="21"/>
          <w:lang w:eastAsia="ru-RU"/>
        </w:rPr>
        <w:t xml:space="preserve"> 4 добавлено решение с использованием аппроксимации Шуе.</w:t>
      </w:r>
      <w:r w:rsidR="00775348" w:rsidRPr="00967583">
        <w:rPr>
          <w:rFonts w:ascii="Arial" w:eastAsia="Times New Roman" w:hAnsi="Arial" w:cs="Arial"/>
          <w:color w:val="00B050"/>
          <w:sz w:val="24"/>
          <w:szCs w:val="21"/>
          <w:lang w:eastAsia="ru-RU"/>
        </w:rPr>
        <w:t xml:space="preserve"> В текст добавлено описание.</w:t>
      </w:r>
    </w:p>
    <w:sectPr w:rsidR="007070A3" w:rsidRPr="00175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634"/>
    <w:multiLevelType w:val="multilevel"/>
    <w:tmpl w:val="BD3E9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B050E"/>
    <w:multiLevelType w:val="multilevel"/>
    <w:tmpl w:val="3D4C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70320"/>
    <w:multiLevelType w:val="multilevel"/>
    <w:tmpl w:val="019A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1379E"/>
    <w:multiLevelType w:val="multilevel"/>
    <w:tmpl w:val="C404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51E85"/>
    <w:multiLevelType w:val="multilevel"/>
    <w:tmpl w:val="3CD2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F72BC"/>
    <w:multiLevelType w:val="multilevel"/>
    <w:tmpl w:val="D8561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5F6F65"/>
    <w:multiLevelType w:val="multilevel"/>
    <w:tmpl w:val="9736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000CD"/>
    <w:multiLevelType w:val="multilevel"/>
    <w:tmpl w:val="AF8C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F63779"/>
    <w:multiLevelType w:val="multilevel"/>
    <w:tmpl w:val="A58C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F9204C"/>
    <w:multiLevelType w:val="multilevel"/>
    <w:tmpl w:val="65EEF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BA5550"/>
    <w:multiLevelType w:val="multilevel"/>
    <w:tmpl w:val="7046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F048D"/>
    <w:multiLevelType w:val="multilevel"/>
    <w:tmpl w:val="8ED8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732A0F"/>
    <w:multiLevelType w:val="multilevel"/>
    <w:tmpl w:val="925A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B411DB"/>
    <w:multiLevelType w:val="multilevel"/>
    <w:tmpl w:val="65C2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F8508B"/>
    <w:multiLevelType w:val="multilevel"/>
    <w:tmpl w:val="685E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4A5CEE"/>
    <w:multiLevelType w:val="multilevel"/>
    <w:tmpl w:val="D91C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4E2BE4"/>
    <w:multiLevelType w:val="multilevel"/>
    <w:tmpl w:val="ED00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1"/>
  </w:num>
  <w:num w:numId="5">
    <w:abstractNumId w:val="12"/>
  </w:num>
  <w:num w:numId="6">
    <w:abstractNumId w:val="8"/>
  </w:num>
  <w:num w:numId="7">
    <w:abstractNumId w:val="6"/>
  </w:num>
  <w:num w:numId="8">
    <w:abstractNumId w:val="13"/>
  </w:num>
  <w:num w:numId="9">
    <w:abstractNumId w:val="14"/>
  </w:num>
  <w:num w:numId="10">
    <w:abstractNumId w:val="2"/>
  </w:num>
  <w:num w:numId="11">
    <w:abstractNumId w:val="16"/>
  </w:num>
  <w:num w:numId="12">
    <w:abstractNumId w:val="15"/>
  </w:num>
  <w:num w:numId="13">
    <w:abstractNumId w:val="9"/>
  </w:num>
  <w:num w:numId="14">
    <w:abstractNumId w:val="0"/>
  </w:num>
  <w:num w:numId="15">
    <w:abstractNumId w:val="10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91"/>
    <w:rsid w:val="00015587"/>
    <w:rsid w:val="000D67EC"/>
    <w:rsid w:val="001519F3"/>
    <w:rsid w:val="001757DB"/>
    <w:rsid w:val="001D69A1"/>
    <w:rsid w:val="001E0C61"/>
    <w:rsid w:val="002279A5"/>
    <w:rsid w:val="00252A51"/>
    <w:rsid w:val="002D39E8"/>
    <w:rsid w:val="002F1888"/>
    <w:rsid w:val="003407E4"/>
    <w:rsid w:val="00371616"/>
    <w:rsid w:val="003D0674"/>
    <w:rsid w:val="004800A8"/>
    <w:rsid w:val="004D6E01"/>
    <w:rsid w:val="00504A03"/>
    <w:rsid w:val="00544B84"/>
    <w:rsid w:val="00564864"/>
    <w:rsid w:val="0069666C"/>
    <w:rsid w:val="006A1635"/>
    <w:rsid w:val="006E2A69"/>
    <w:rsid w:val="007070A3"/>
    <w:rsid w:val="00726814"/>
    <w:rsid w:val="00736C74"/>
    <w:rsid w:val="00775348"/>
    <w:rsid w:val="007B5726"/>
    <w:rsid w:val="007D34FA"/>
    <w:rsid w:val="00821D96"/>
    <w:rsid w:val="00897F5F"/>
    <w:rsid w:val="008B3697"/>
    <w:rsid w:val="0093561E"/>
    <w:rsid w:val="00967583"/>
    <w:rsid w:val="009710DC"/>
    <w:rsid w:val="009A3C44"/>
    <w:rsid w:val="009E18BC"/>
    <w:rsid w:val="00A308A5"/>
    <w:rsid w:val="00A44228"/>
    <w:rsid w:val="00AC7D62"/>
    <w:rsid w:val="00AE6491"/>
    <w:rsid w:val="00B23BF6"/>
    <w:rsid w:val="00B3582F"/>
    <w:rsid w:val="00B43E98"/>
    <w:rsid w:val="00BD4125"/>
    <w:rsid w:val="00BD7A04"/>
    <w:rsid w:val="00D34DB9"/>
    <w:rsid w:val="00D623BC"/>
    <w:rsid w:val="00D83525"/>
    <w:rsid w:val="00E238CE"/>
    <w:rsid w:val="00E670D1"/>
    <w:rsid w:val="00EA185D"/>
    <w:rsid w:val="00F477AF"/>
    <w:rsid w:val="00F76CF3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A3CE"/>
  <w15:chartTrackingRefBased/>
  <w15:docId w15:val="{4FFE789E-D6E3-4626-A0C7-7EBD076B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6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6491"/>
    <w:rPr>
      <w:b/>
      <w:bCs/>
    </w:rPr>
  </w:style>
  <w:style w:type="character" w:styleId="a5">
    <w:name w:val="Hyperlink"/>
    <w:basedOn w:val="a0"/>
    <w:uiPriority w:val="99"/>
    <w:semiHidden/>
    <w:unhideWhenUsed/>
    <w:rsid w:val="00AE649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71616"/>
    <w:pPr>
      <w:ind w:left="720"/>
      <w:contextualSpacing/>
    </w:pPr>
  </w:style>
  <w:style w:type="character" w:styleId="a7">
    <w:name w:val="Emphasis"/>
    <w:basedOn w:val="a0"/>
    <w:uiPriority w:val="20"/>
    <w:qFormat/>
    <w:rsid w:val="001519F3"/>
    <w:rPr>
      <w:i/>
      <w:iCs/>
    </w:rPr>
  </w:style>
  <w:style w:type="character" w:styleId="a8">
    <w:name w:val="Placeholder Text"/>
    <w:basedOn w:val="a0"/>
    <w:uiPriority w:val="99"/>
    <w:semiHidden/>
    <w:rsid w:val="00897F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1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46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6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7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0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8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57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0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74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7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22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33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0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40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75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2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7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05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24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59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4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12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77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63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46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24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0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03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01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73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93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12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1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9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0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1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461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9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1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6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1786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Протасов Максим Игоревич</dc:creator>
  <cp:keywords/>
  <dc:description/>
  <cp:lastModifiedBy>Дмитрачков Данил Константинович</cp:lastModifiedBy>
  <cp:revision>40</cp:revision>
  <dcterms:created xsi:type="dcterms:W3CDTF">2025-07-23T08:14:00Z</dcterms:created>
  <dcterms:modified xsi:type="dcterms:W3CDTF">2025-11-24T12:58:00Z</dcterms:modified>
</cp:coreProperties>
</file>